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w:t>
      </w:r>
      <w:bookmarkStart w:id="0" w:name="_GoBack"/>
      <w:bookmarkEnd w:id="0"/>
      <w:r w:rsidRPr="000639FA">
        <w:rPr>
          <w:color w:val="000000"/>
        </w:rPr>
        <w:t>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 xml:space="preserve">настоящего Договора, если Покупатель не воспользовался правами, установленными п. </w:t>
      </w:r>
      <w:proofErr w:type="gramStart"/>
      <w:r w:rsidRPr="000639FA">
        <w:rPr>
          <w:color w:val="000000"/>
        </w:rPr>
        <w:t>2.5.1.,</w:t>
      </w:r>
      <w:proofErr w:type="gramEnd"/>
      <w:r w:rsidRPr="000639FA">
        <w:rPr>
          <w:color w:val="000000"/>
        </w:rPr>
        <w:t xml:space="preserve">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 xml:space="preserve">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w:t>
      </w:r>
      <w:r w:rsidRPr="000639FA">
        <w:rPr>
          <w:color w:val="000000"/>
        </w:rPr>
        <w:lastRenderedPageBreak/>
        <w:t>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lastRenderedPageBreak/>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w:t>
      </w:r>
      <w:proofErr w:type="spellStart"/>
      <w:r w:rsidRPr="001C0174">
        <w:t>т.ч</w:t>
      </w:r>
      <w:proofErr w:type="spellEnd"/>
      <w:r w:rsidRPr="001C0174">
        <w:t xml:space="preserve">.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 xml:space="preserve">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0639FA">
        <w:rPr>
          <w:color w:val="00000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 xml:space="preserve">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w:t>
      </w:r>
      <w:r w:rsidRPr="000639FA">
        <w:rPr>
          <w:color w:val="000000"/>
        </w:rPr>
        <w:lastRenderedPageBreak/>
        <w:t>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w:t>
      </w:r>
      <w:r w:rsidRPr="000639FA">
        <w:rPr>
          <w:color w:val="000000"/>
        </w:rPr>
        <w:lastRenderedPageBreak/>
        <w:t xml:space="preserve">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lastRenderedPageBreak/>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lastRenderedPageBreak/>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lastRenderedPageBreak/>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lastRenderedPageBreak/>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3" w:name="RANGE!A1:S37"/>
      <w:bookmarkEnd w:id="3"/>
    </w:p>
    <w:tbl>
      <w:tblPr>
        <w:tblW w:w="16082" w:type="dxa"/>
        <w:tblInd w:w="-601" w:type="dxa"/>
        <w:tblLayout w:type="fixed"/>
        <w:tblLook w:val="00A0" w:firstRow="1" w:lastRow="0" w:firstColumn="1" w:lastColumn="0" w:noHBand="0" w:noVBand="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Стоимость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 xml:space="preserve">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w:t>
            </w:r>
            <w:r w:rsidRPr="000639FA">
              <w:rPr>
                <w:color w:val="000000"/>
                <w:sz w:val="18"/>
                <w:szCs w:val="18"/>
              </w:rPr>
              <w:lastRenderedPageBreak/>
              <w:t>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7D08AE">
              <w:rPr>
                <w:color w:val="000000"/>
                <w:sz w:val="18"/>
                <w:szCs w:val="18"/>
              </w:rPr>
              <w:t>акупаемои</w:t>
            </w:r>
            <w:proofErr w:type="spellEnd"/>
            <w:r w:rsidR="007D08AE">
              <w:rPr>
                <w:color w:val="000000"/>
                <w:sz w:val="18"/>
                <w:szCs w:val="18"/>
              </w:rPr>
              <w:t>̆ продукции до +</w:t>
            </w:r>
            <w:r w:rsidR="0088747F">
              <w:rPr>
                <w:color w:val="000000"/>
                <w:sz w:val="18"/>
                <w:szCs w:val="18"/>
              </w:rPr>
              <w:t>75</w:t>
            </w:r>
            <w:r w:rsidR="007D08AE">
              <w:rPr>
                <w:color w:val="000000"/>
                <w:sz w:val="18"/>
                <w:szCs w:val="18"/>
              </w:rPr>
              <w:t>%/-</w:t>
            </w:r>
            <w:r w:rsidR="0088747F">
              <w:rPr>
                <w:color w:val="000000"/>
                <w:sz w:val="18"/>
                <w:szCs w:val="18"/>
              </w:rPr>
              <w:t>50</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7D08AE">
              <w:rPr>
                <w:color w:val="000000"/>
                <w:sz w:val="18"/>
                <w:szCs w:val="18"/>
              </w:rPr>
              <w:t xml:space="preserve">меньшения может составлять до </w:t>
            </w:r>
            <w:r w:rsidR="0088747F">
              <w:rPr>
                <w:color w:val="000000"/>
                <w:sz w:val="18"/>
                <w:szCs w:val="18"/>
              </w:rPr>
              <w:t>50</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 xml:space="preserve">Опцион Покупателя в стоимостном выражении в сторону увеличения может составлять до </w:t>
            </w:r>
            <w:r w:rsidR="0088747F">
              <w:rPr>
                <w:color w:val="000000"/>
                <w:sz w:val="18"/>
                <w:szCs w:val="18"/>
              </w:rPr>
              <w:t>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C87500">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C87500">
              <w:rPr>
                <w:color w:val="000000"/>
                <w:sz w:val="18"/>
                <w:szCs w:val="18"/>
              </w:rPr>
              <w:t>2</w:t>
            </w:r>
            <w:r w:rsidRPr="000639FA">
              <w:rPr>
                <w:color w:val="000000"/>
                <w:sz w:val="18"/>
                <w:szCs w:val="18"/>
              </w:rPr>
              <w:t xml:space="preserve"> квартала 20</w:t>
            </w:r>
            <w:r w:rsidRPr="006B02A8">
              <w:rPr>
                <w:color w:val="000000"/>
                <w:sz w:val="18"/>
                <w:szCs w:val="18"/>
              </w:rPr>
              <w:t>2</w:t>
            </w:r>
            <w:r w:rsidR="00C87500">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sidRPr="00C87500">
      <w:rPr>
        <w:sz w:val="20"/>
        <w:lang w:val="ru-RU"/>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88747F">
      <w:rPr>
        <w:noProof/>
        <w:sz w:val="20"/>
      </w:rPr>
      <w:t>2</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88747F">
      <w:rPr>
        <w:noProof/>
        <w:sz w:val="20"/>
      </w:rPr>
      <w:t>18</w:t>
    </w:r>
    <w:r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47F"/>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87500"/>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DCA35-11D9-4580-8485-A2F4F8EC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val="x-none" w:eastAsia="x-none"/>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val="x-none" w:eastAsia="x-none"/>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val="x-none" w:eastAsia="x-none"/>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val="x-none" w:eastAsia="x-none"/>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val="x-none" w:eastAsia="x-none"/>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val="x-none" w:eastAsia="x-none"/>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val="x-none" w:eastAsia="x-none"/>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val="x-none" w:eastAsia="x-none"/>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val="x-none" w:eastAsia="x-none"/>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val="x-none" w:eastAsia="x-none"/>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134B3-70B3-4C14-9669-F831FE4DB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6946</Words>
  <Characters>48483</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Шляхова Инна Игоревна</cp:lastModifiedBy>
  <cp:revision>5</cp:revision>
  <cp:lastPrinted>2019-11-11T09:27:00Z</cp:lastPrinted>
  <dcterms:created xsi:type="dcterms:W3CDTF">2023-01-12T12:06:00Z</dcterms:created>
  <dcterms:modified xsi:type="dcterms:W3CDTF">2023-08-28T10:57:00Z</dcterms:modified>
</cp:coreProperties>
</file>